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«30» января 2015 г.                                                             № 18</w:t>
        <w:br/>
        <w:t>г. Абакан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реализации Соглашения между прокуратурой Республики Хакасия и Министерством культуры Республики Хакасия о взаимодействии в сфере обеспечения единства правового пространства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реализации Соглашения между прокуратурой Республики Хакасия и Министерством культуры Республики Хакасия о взаимодействии в сфере обеспечения единства правового пространства от 20.01.2015 № 110-1-д,</w:t>
        <w:br/>
        <w:t>п р и к а з ы в а ю: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1.Установить, что Министерство культуры Республики Хакасия: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предоставляет в прокуратуру Республики Хакасия проекты республиканских нормативных правовых актов, разработанных в Министерстве, посредством размещения их в автоматизированной системе документооборота «Дело» (далее – САДД «Дело»), направления по электронной почте, либо нарочно;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обеспечивает поступление в прокуратуру Республики Хакасия издаваемых Министерством культуры Республики Хакасия приказов, имеющих нормативный характер, в течение трех дней после подписания;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приглашает представителей прокуратуры Республики Хакасия на обсуждение проектов нормативных правовых актов, а также иные мероприятия, посвященные нормотворчеству, принимает участие в мероприятиях, организуемых прокуратурой в этой сфере;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предоставляет прокуратуре Республики Хакасия имеющиеся сведения о несоответствии нормативных правовых актов иных органов государственной власти Республики Хакасия, органов местного самоуправления Конституции Российской Федерации и федеральному законодательству, наличия в них коррупциогенных факторов.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Специалистам Министерства культуры Республики Хакасия по направлениям деятельности: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разработке проектов законов Республики Хакасия, постановлений Правительства Республики Хакасия и его Президиума, постановлений и распоряжений Главы Республики Хакасия – Председателя Правительства Республики Хакасия и последующем размещении их в САДД «Дело» включать в перечень обязательных корреспондентов прокуратуру Республики Хакасия;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после принятия приказов Министерства культуры Республики Хакасия, имеющих нормативный характер, в обязательном порядке направлять копии данных приказов в прокуратуру Республики Хакасия в течение трех дней;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планировании мероприятий, посвященных нормотворчеству или обсуждению проектов нормативных правовых актов, обеспечивать участие представителей прокураты Республики Хакасия на данных совещаниях, а также принимать участие в мероприятиях, организуемых прокуратурой Республики Хакасия в этой сфере;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уведомлять прокуратуру Республики Хакасия об имеющихся сведениях о несоответствии нормативных правовых актов иных органов государственной власти Республики Хакасия, органов местного самоуправления Конституции Российской Федерации и федеральному законодательству, наличия в них коррупциогенных факторов.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Специалисты Министерства культуры Республики Хакасия по направлениям деятельности несут персональную ответственность за своевременность и полноту предоставления информации в прокуратуру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Специалисту 1 разряда координационно-аналитического отдела Сазанаковой Л.Н. ознакомить с приказом всех сотрудников аппарата Министерства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Контроль за исполнением настоящего приказа оставляю за собой.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С. Окольникова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371</Words>
  <Characters>2881</Characters>
  <CharactersWithSpaces>3375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2016-09-15T04:17:43Z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