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«25» июня 2015 г.                                       № 127</w:t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Об отмене приказа № 192 от 26.12.2014 «Об утверждении Плана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 на 2015 год»</w:t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увольнением контрактного управляющего Министерства культуры Республики Хакасия п р и к а з ы в а ю:</w:t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 Отменить действие приказа № 192 от 26.12.2014 «Об утверждении Плана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 на 2015 год».</w:t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Проинформировать руководителей республиканских учреждений культуры, чьи учреждения вошли в План ведомственного контроля за соблюдением законодательства в сфере закупок для обеспечения нужд учреждений подведомственных Министерству культуры Республики Хакасия, на 2015 год, об отмене приказа.</w:t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>
      <w:pPr>
        <w:pStyle w:val="Style16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>
      <w:pPr>
        <w:pStyle w:val="Style16"/>
        <w:widowControl/>
        <w:spacing w:before="0" w:after="120"/>
        <w:jc w:val="left"/>
        <w:rPr>
          <w:sz w:val="28"/>
          <w:szCs w:val="28"/>
        </w:rPr>
      </w:pPr>
      <w:r>
        <w:rPr>
          <w:sz w:val="28"/>
          <w:szCs w:val="28"/>
        </w:rPr>
        <w:t>Республики Хакасия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142</Words>
  <Characters>938</Characters>
  <CharactersWithSpaces>1180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2016-09-24T02:47:24Z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